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10" w:type="dxa"/>
        <w:jc w:val="center"/>
        <w:tblCellMar>
          <w:left w:w="0" w:type="dxa"/>
          <w:right w:w="0" w:type="dxa"/>
        </w:tblCellMar>
        <w:tblLook w:val="04A0" w:firstRow="1" w:lastRow="0" w:firstColumn="1" w:lastColumn="0" w:noHBand="0" w:noVBand="1"/>
      </w:tblPr>
      <w:tblGrid>
        <w:gridCol w:w="15810"/>
      </w:tblGrid>
      <w:tr w:rsidR="00000A00" w:rsidRPr="00000A00" w14:paraId="3A5D151A" w14:textId="77777777" w:rsidTr="00000A00">
        <w:trPr>
          <w:jc w:val="center"/>
        </w:trPr>
        <w:tc>
          <w:tcPr>
            <w:tcW w:w="0" w:type="auto"/>
            <w:vAlign w:val="center"/>
            <w:hideMark/>
          </w:tcPr>
          <w:tbl>
            <w:tblPr>
              <w:tblW w:w="9750" w:type="dxa"/>
              <w:jc w:val="center"/>
              <w:tblCellMar>
                <w:left w:w="0" w:type="dxa"/>
                <w:right w:w="0" w:type="dxa"/>
              </w:tblCellMar>
              <w:tblLook w:val="04A0" w:firstRow="1" w:lastRow="0" w:firstColumn="1" w:lastColumn="0" w:noHBand="0" w:noVBand="1"/>
            </w:tblPr>
            <w:tblGrid>
              <w:gridCol w:w="9750"/>
            </w:tblGrid>
            <w:tr w:rsidR="00000A00" w:rsidRPr="00000A00" w14:paraId="73D7F82A" w14:textId="77777777">
              <w:trPr>
                <w:jc w:val="center"/>
              </w:trPr>
              <w:tc>
                <w:tcPr>
                  <w:tcW w:w="0" w:type="auto"/>
                  <w:shd w:val="clear" w:color="auto" w:fill="auto"/>
                  <w:tcMar>
                    <w:top w:w="30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750"/>
                  </w:tblGrid>
                  <w:tr w:rsidR="00000A00" w:rsidRPr="00000A00" w14:paraId="14C183BC" w14:textId="77777777">
                    <w:tc>
                      <w:tcPr>
                        <w:tcW w:w="9750" w:type="dxa"/>
                        <w:hideMark/>
                      </w:tcPr>
                      <w:tbl>
                        <w:tblPr>
                          <w:tblW w:w="5000" w:type="pct"/>
                          <w:jc w:val="center"/>
                          <w:tblCellMar>
                            <w:left w:w="0" w:type="dxa"/>
                            <w:right w:w="0" w:type="dxa"/>
                          </w:tblCellMar>
                          <w:tblLook w:val="04A0" w:firstRow="1" w:lastRow="0" w:firstColumn="1" w:lastColumn="0" w:noHBand="0" w:noVBand="1"/>
                        </w:tblPr>
                        <w:tblGrid>
                          <w:gridCol w:w="9750"/>
                        </w:tblGrid>
                        <w:tr w:rsidR="00000A00" w:rsidRPr="00000A00" w14:paraId="5B93A1D2" w14:textId="77777777">
                          <w:trPr>
                            <w:jc w:val="center"/>
                          </w:trPr>
                          <w:tc>
                            <w:tcPr>
                              <w:tcW w:w="0" w:type="auto"/>
                              <w:shd w:val="clear" w:color="auto" w:fill="666666"/>
                              <w:tcMar>
                                <w:top w:w="150" w:type="dxa"/>
                                <w:left w:w="150" w:type="dxa"/>
                                <w:bottom w:w="150" w:type="dxa"/>
                                <w:right w:w="150" w:type="dxa"/>
                              </w:tcMar>
                              <w:vAlign w:val="center"/>
                              <w:hideMark/>
                            </w:tcPr>
                            <w:p w14:paraId="0097D359" w14:textId="3B483EF1" w:rsidR="00000A00" w:rsidRPr="00000A00" w:rsidRDefault="00000A00" w:rsidP="00000A00">
                              <w:pPr>
                                <w:spacing w:line="450" w:lineRule="atLeast"/>
                                <w:rPr>
                                  <w:rFonts w:ascii="Roboto" w:eastAsia="Times New Roman" w:hAnsi="Roboto" w:cs="Times New Roman"/>
                                  <w:color w:val="FFFFFF"/>
                                  <w:sz w:val="30"/>
                                  <w:szCs w:val="30"/>
                                </w:rPr>
                              </w:pPr>
                              <w:bookmarkStart w:id="0" w:name="_GoBack" w:colFirst="0" w:colLast="0"/>
                              <w:proofErr w:type="spellStart"/>
                              <w:r>
                                <w:rPr>
                                  <w:rFonts w:ascii="Roboto" w:eastAsia="Times New Roman" w:hAnsi="Roboto" w:cs="Times New Roman"/>
                                  <w:b/>
                                  <w:bCs/>
                                  <w:color w:val="FFFFFF"/>
                                  <w:sz w:val="30"/>
                                  <w:szCs w:val="30"/>
                                </w:rPr>
                                <w:t>AmericanHort</w:t>
                              </w:r>
                              <w:proofErr w:type="spellEnd"/>
                              <w:r>
                                <w:rPr>
                                  <w:rFonts w:ascii="Roboto" w:eastAsia="Times New Roman" w:hAnsi="Roboto" w:cs="Times New Roman"/>
                                  <w:b/>
                                  <w:bCs/>
                                  <w:color w:val="FFFFFF"/>
                                  <w:sz w:val="30"/>
                                  <w:szCs w:val="30"/>
                                </w:rPr>
                                <w:t xml:space="preserve"> </w:t>
                              </w:r>
                              <w:r w:rsidRPr="00000A00">
                                <w:rPr>
                                  <w:rFonts w:ascii="Roboto" w:eastAsia="Times New Roman" w:hAnsi="Roboto" w:cs="Times New Roman"/>
                                  <w:b/>
                                  <w:bCs/>
                                  <w:color w:val="FFFFFF"/>
                                  <w:sz w:val="30"/>
                                  <w:szCs w:val="30"/>
                                </w:rPr>
                                <w:t>Advocacy Update</w:t>
                              </w:r>
                              <w:r>
                                <w:rPr>
                                  <w:rFonts w:ascii="Roboto" w:eastAsia="Times New Roman" w:hAnsi="Roboto" w:cs="Times New Roman"/>
                                  <w:b/>
                                  <w:bCs/>
                                  <w:color w:val="FFFFFF"/>
                                  <w:sz w:val="30"/>
                                  <w:szCs w:val="30"/>
                                </w:rPr>
                                <w:t xml:space="preserve"> – 3/19/2024</w:t>
                              </w:r>
                            </w:p>
                          </w:tc>
                        </w:tr>
                        <w:bookmarkEnd w:id="0"/>
                      </w:tbl>
                      <w:p w14:paraId="49B3E0BD" w14:textId="77777777" w:rsidR="00000A00" w:rsidRPr="00000A00" w:rsidRDefault="00000A00" w:rsidP="00000A00">
                        <w:pPr>
                          <w:jc w:val="center"/>
                          <w:rPr>
                            <w:rFonts w:ascii="Times New Roman" w:eastAsia="Times New Roman" w:hAnsi="Times New Roman" w:cs="Times New Roman"/>
                          </w:rPr>
                        </w:pPr>
                      </w:p>
                    </w:tc>
                  </w:tr>
                </w:tbl>
                <w:p w14:paraId="5EE78B4D" w14:textId="77777777" w:rsidR="00000A00" w:rsidRPr="00000A00" w:rsidRDefault="00000A00" w:rsidP="00000A00">
                  <w:pPr>
                    <w:rPr>
                      <w:rFonts w:ascii="Times New Roman" w:eastAsia="Times New Roman" w:hAnsi="Times New Roman" w:cs="Times New Roman"/>
                    </w:rPr>
                  </w:pPr>
                </w:p>
              </w:tc>
            </w:tr>
          </w:tbl>
          <w:p w14:paraId="3F585260" w14:textId="77777777" w:rsidR="00000A00" w:rsidRPr="00000A00" w:rsidRDefault="00000A00" w:rsidP="00000A00">
            <w:pPr>
              <w:jc w:val="center"/>
              <w:rPr>
                <w:rFonts w:ascii="Times New Roman" w:eastAsia="Times New Roman" w:hAnsi="Times New Roman" w:cs="Times New Roman"/>
              </w:rPr>
            </w:pPr>
          </w:p>
        </w:tc>
      </w:tr>
    </w:tbl>
    <w:p w14:paraId="1FFF5353" w14:textId="77777777" w:rsidR="00000A00" w:rsidRPr="00000A00" w:rsidRDefault="00000A00" w:rsidP="00000A00">
      <w:pPr>
        <w:rPr>
          <w:rFonts w:ascii="Times New Roman" w:eastAsia="Times New Roman" w:hAnsi="Times New Roman" w:cs="Times New Roman"/>
          <w:vanish/>
        </w:rPr>
      </w:pPr>
    </w:p>
    <w:tbl>
      <w:tblPr>
        <w:tblW w:w="15810" w:type="dxa"/>
        <w:jc w:val="center"/>
        <w:tblCellMar>
          <w:left w:w="0" w:type="dxa"/>
          <w:right w:w="0" w:type="dxa"/>
        </w:tblCellMar>
        <w:tblLook w:val="04A0" w:firstRow="1" w:lastRow="0" w:firstColumn="1" w:lastColumn="0" w:noHBand="0" w:noVBand="1"/>
      </w:tblPr>
      <w:tblGrid>
        <w:gridCol w:w="15810"/>
      </w:tblGrid>
      <w:tr w:rsidR="00000A00" w:rsidRPr="00000A00" w14:paraId="725AE4A8" w14:textId="77777777" w:rsidTr="00000A00">
        <w:trPr>
          <w:jc w:val="center"/>
        </w:trPr>
        <w:tc>
          <w:tcPr>
            <w:tcW w:w="0" w:type="auto"/>
            <w:shd w:val="clear" w:color="auto" w:fill="FFFFFF"/>
            <w:vAlign w:val="center"/>
            <w:hideMark/>
          </w:tcPr>
          <w:tbl>
            <w:tblPr>
              <w:tblW w:w="9750" w:type="dxa"/>
              <w:jc w:val="center"/>
              <w:tblCellMar>
                <w:left w:w="0" w:type="dxa"/>
                <w:right w:w="0" w:type="dxa"/>
              </w:tblCellMar>
              <w:tblLook w:val="04A0" w:firstRow="1" w:lastRow="0" w:firstColumn="1" w:lastColumn="0" w:noHBand="0" w:noVBand="1"/>
            </w:tblPr>
            <w:tblGrid>
              <w:gridCol w:w="9750"/>
            </w:tblGrid>
            <w:tr w:rsidR="00000A00" w:rsidRPr="00000A00" w14:paraId="4EE5E4A7" w14:textId="77777777">
              <w:trPr>
                <w:jc w:val="center"/>
              </w:trPr>
              <w:tc>
                <w:tcPr>
                  <w:tcW w:w="0" w:type="auto"/>
                  <w:shd w:val="clear" w:color="auto" w:fill="auto"/>
                  <w:tcMar>
                    <w:top w:w="30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750"/>
                  </w:tblGrid>
                  <w:tr w:rsidR="00000A00" w:rsidRPr="00000A00" w14:paraId="0A7DBE76" w14:textId="77777777">
                    <w:tc>
                      <w:tcPr>
                        <w:tcW w:w="9750" w:type="dxa"/>
                        <w:hideMark/>
                      </w:tcPr>
                      <w:p w14:paraId="5110196C" w14:textId="77777777" w:rsidR="00000A00" w:rsidRPr="00000A00" w:rsidRDefault="00000A00" w:rsidP="00000A00">
                        <w:pPr>
                          <w:spacing w:line="360" w:lineRule="atLeast"/>
                          <w:outlineLvl w:val="0"/>
                          <w:rPr>
                            <w:rFonts w:ascii="Roboto" w:eastAsia="Times New Roman" w:hAnsi="Roboto" w:cs="Times New Roman"/>
                            <w:b/>
                            <w:bCs/>
                            <w:color w:val="00837E"/>
                            <w:kern w:val="36"/>
                            <w:sz w:val="30"/>
                            <w:szCs w:val="30"/>
                          </w:rPr>
                        </w:pPr>
                        <w:r w:rsidRPr="00000A00">
                          <w:rPr>
                            <w:rFonts w:ascii="Roboto" w:eastAsia="Times New Roman" w:hAnsi="Roboto" w:cs="Times New Roman"/>
                            <w:b/>
                            <w:bCs/>
                            <w:color w:val="00837E"/>
                            <w:kern w:val="36"/>
                            <w:sz w:val="30"/>
                            <w:szCs w:val="30"/>
                          </w:rPr>
                          <w:t>What you need to know about the Corporate Transparency Act</w:t>
                        </w:r>
                      </w:p>
                      <w:p w14:paraId="06FBF1F3" w14:textId="77777777" w:rsidR="00000A00" w:rsidRPr="00000A00" w:rsidRDefault="00000A00" w:rsidP="00000A00">
                        <w:pPr>
                          <w:jc w:val="center"/>
                          <w:rPr>
                            <w:rFonts w:ascii="Times New Roman" w:eastAsia="Times New Roman" w:hAnsi="Times New Roman" w:cs="Times New Roman"/>
                          </w:rPr>
                        </w:pPr>
                      </w:p>
                    </w:tc>
                  </w:tr>
                </w:tbl>
                <w:p w14:paraId="15007DC6" w14:textId="77777777" w:rsidR="00000A00" w:rsidRPr="00000A00" w:rsidRDefault="00000A00" w:rsidP="00000A00">
                  <w:pPr>
                    <w:rPr>
                      <w:rFonts w:ascii="Times New Roman" w:eastAsia="Times New Roman" w:hAnsi="Times New Roman" w:cs="Times New Roman"/>
                    </w:rPr>
                  </w:pPr>
                </w:p>
              </w:tc>
            </w:tr>
            <w:tr w:rsidR="00000A00" w:rsidRPr="00000A00" w14:paraId="2E88B451" w14:textId="77777777">
              <w:trPr>
                <w:jc w:val="center"/>
              </w:trPr>
              <w:tc>
                <w:tcPr>
                  <w:tcW w:w="0" w:type="auto"/>
                  <w:shd w:val="clear" w:color="auto" w:fill="auto"/>
                  <w:tcMar>
                    <w:top w:w="75" w:type="dxa"/>
                    <w:left w:w="0" w:type="dxa"/>
                    <w:bottom w:w="7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750"/>
                  </w:tblGrid>
                  <w:tr w:rsidR="00000A00" w:rsidRPr="00000A00" w14:paraId="040B43DA" w14:textId="77777777">
                    <w:tc>
                      <w:tcPr>
                        <w:tcW w:w="9750" w:type="dxa"/>
                        <w:hideMark/>
                      </w:tcPr>
                      <w:p w14:paraId="79D2D8FD" w14:textId="77777777" w:rsidR="00000A00" w:rsidRPr="00000A00" w:rsidRDefault="00000A00" w:rsidP="00000A00">
                        <w:pPr>
                          <w:spacing w:line="360" w:lineRule="atLeast"/>
                          <w:rPr>
                            <w:rFonts w:ascii="Roboto" w:eastAsia="Times New Roman" w:hAnsi="Roboto" w:cs="Times New Roman"/>
                            <w:color w:val="333333"/>
                          </w:rPr>
                        </w:pPr>
                        <w:r w:rsidRPr="00000A00">
                          <w:rPr>
                            <w:rFonts w:ascii="Roboto" w:eastAsia="Times New Roman" w:hAnsi="Roboto" w:cs="Times New Roman"/>
                            <w:color w:val="333333"/>
                          </w:rPr>
                          <w:t>The </w:t>
                        </w:r>
                        <w:hyperlink r:id="rId4" w:tgtFrame="_blank" w:history="1">
                          <w:r w:rsidRPr="00000A00">
                            <w:rPr>
                              <w:rFonts w:ascii="Roboto" w:eastAsia="Times New Roman" w:hAnsi="Roboto" w:cs="Times New Roman"/>
                              <w:b/>
                              <w:bCs/>
                              <w:color w:val="00837E"/>
                              <w:u w:val="single"/>
                            </w:rPr>
                            <w:t>Corporate Transparency Act</w:t>
                          </w:r>
                        </w:hyperlink>
                        <w:r w:rsidRPr="00000A00">
                          <w:rPr>
                            <w:rFonts w:ascii="Roboto" w:eastAsia="Times New Roman" w:hAnsi="Roboto" w:cs="Times New Roman"/>
                            <w:color w:val="333333"/>
                          </w:rPr>
                          <w:t> (CTA) requires certain entities to file with the Financial Crimes Enforcement Network (FinCEN) to prevent tax fraud, money laundering, and financial terrorism. Non-compliance can lead to civil and criminal penalties.</w:t>
                        </w:r>
                      </w:p>
                      <w:p w14:paraId="28DB6B41" w14:textId="77777777" w:rsidR="00000A00" w:rsidRPr="00000A00" w:rsidRDefault="00000A00" w:rsidP="00000A00">
                        <w:pPr>
                          <w:spacing w:line="360" w:lineRule="atLeast"/>
                          <w:rPr>
                            <w:rFonts w:ascii="Roboto" w:eastAsia="Times New Roman" w:hAnsi="Roboto" w:cs="Times New Roman"/>
                            <w:color w:val="333333"/>
                          </w:rPr>
                        </w:pPr>
                        <w:r w:rsidRPr="00000A00">
                          <w:rPr>
                            <w:rFonts w:ascii="Roboto" w:eastAsia="Times New Roman" w:hAnsi="Roboto" w:cs="Times New Roman"/>
                            <w:color w:val="333333"/>
                          </w:rPr>
                          <w:t>On March 1, the U.S. District Court for the District of Alabama ruled the CTA unconstitutional in the case of National Small Business Association v. Yellen and suspended its implementation. National Small Business United (NSBU) contested the mandate for small businesses to disclose their beneficial owners to the FinCEN.</w:t>
                        </w:r>
                      </w:p>
                      <w:p w14:paraId="04AE7482" w14:textId="77777777" w:rsidR="00000A00" w:rsidRPr="00000A00" w:rsidRDefault="00000A00" w:rsidP="00000A00">
                        <w:pPr>
                          <w:spacing w:line="360" w:lineRule="atLeast"/>
                          <w:rPr>
                            <w:rFonts w:ascii="Roboto" w:eastAsia="Times New Roman" w:hAnsi="Roboto" w:cs="Times New Roman"/>
                            <w:color w:val="333333"/>
                          </w:rPr>
                        </w:pPr>
                        <w:r w:rsidRPr="00000A00">
                          <w:rPr>
                            <w:rFonts w:ascii="Roboto" w:eastAsia="Times New Roman" w:hAnsi="Roboto" w:cs="Times New Roman"/>
                            <w:color w:val="333333"/>
                          </w:rPr>
                          <w:t>FinCEN will comply with the court's order and is not currently enforcing the </w:t>
                        </w:r>
                        <w:proofErr w:type="spellStart"/>
                        <w:r w:rsidRPr="00000A00">
                          <w:rPr>
                            <w:rFonts w:ascii="Roboto" w:eastAsia="Times New Roman" w:hAnsi="Roboto" w:cs="Times New Roman"/>
                            <w:color w:val="333333"/>
                          </w:rPr>
                          <w:t>CorporateTransparency</w:t>
                        </w:r>
                        <w:proofErr w:type="spellEnd"/>
                        <w:r w:rsidRPr="00000A00">
                          <w:rPr>
                            <w:rFonts w:ascii="Roboto" w:eastAsia="Times New Roman" w:hAnsi="Roboto" w:cs="Times New Roman"/>
                            <w:color w:val="333333"/>
                          </w:rPr>
                          <w:t xml:space="preserve"> Act against the plaintiffs in the action. They are not required to report beneficial ownership information to FinCEN currently.</w:t>
                        </w:r>
                      </w:p>
                      <w:p w14:paraId="33B8552D" w14:textId="77777777" w:rsidR="00000A00" w:rsidRPr="00000A00" w:rsidRDefault="00000A00" w:rsidP="00000A00">
                        <w:pPr>
                          <w:spacing w:line="360" w:lineRule="atLeast"/>
                          <w:rPr>
                            <w:rFonts w:ascii="Roboto" w:eastAsia="Times New Roman" w:hAnsi="Roboto" w:cs="Times New Roman"/>
                            <w:color w:val="333333"/>
                          </w:rPr>
                        </w:pPr>
                        <w:r w:rsidRPr="00000A00">
                          <w:rPr>
                            <w:rFonts w:ascii="Roboto" w:eastAsia="Times New Roman" w:hAnsi="Roboto" w:cs="Times New Roman"/>
                            <w:color w:val="333333"/>
                          </w:rPr>
                          <w:t>The U.S. government appealed the District Court of Alabama’s ruling to the United States Court of Appeals for the Eleventh Circuit. The Eleventh Circuit's decision timing is uncertain, with past cases taking over nine months on average in 2023. There is also a possibility of further appeal to the U.S. Supreme Court, where overturning is less likely given the Court's composition.</w:t>
                        </w:r>
                      </w:p>
                      <w:p w14:paraId="41A870CC" w14:textId="77777777" w:rsidR="00000A00" w:rsidRPr="00000A00" w:rsidRDefault="00000A00" w:rsidP="00000A00">
                        <w:pPr>
                          <w:spacing w:line="360" w:lineRule="atLeast"/>
                          <w:rPr>
                            <w:rFonts w:ascii="Roboto" w:eastAsia="Times New Roman" w:hAnsi="Roboto" w:cs="Times New Roman"/>
                            <w:color w:val="333333"/>
                          </w:rPr>
                        </w:pPr>
                        <w:r w:rsidRPr="00000A00">
                          <w:rPr>
                            <w:rFonts w:ascii="Roboto" w:eastAsia="Times New Roman" w:hAnsi="Roboto" w:cs="Times New Roman"/>
                            <w:color w:val="333333"/>
                          </w:rPr>
                          <w:t>Legal experts have different interpretations of the NSBU case. Some say it only applies to NSBU members who filed the case, while others believe it affects all 33 million entities involved. </w:t>
                        </w:r>
                        <w:proofErr w:type="spellStart"/>
                        <w:r w:rsidRPr="00000A00">
                          <w:rPr>
                            <w:rFonts w:ascii="Roboto" w:eastAsia="Times New Roman" w:hAnsi="Roboto" w:cs="Times New Roman"/>
                            <w:color w:val="333333"/>
                          </w:rPr>
                          <w:t>AmericanHort</w:t>
                        </w:r>
                        <w:proofErr w:type="spellEnd"/>
                        <w:r w:rsidRPr="00000A00">
                          <w:rPr>
                            <w:rFonts w:ascii="Roboto" w:eastAsia="Times New Roman" w:hAnsi="Roboto" w:cs="Times New Roman"/>
                            <w:color w:val="333333"/>
                          </w:rPr>
                          <w:t> has been discussing this ruling with Hill staff and committees and will provide updates when applicable.</w:t>
                        </w:r>
                      </w:p>
                      <w:p w14:paraId="75FC0697" w14:textId="77777777" w:rsidR="00000A00" w:rsidRPr="00000A00" w:rsidRDefault="00000A00" w:rsidP="00000A00">
                        <w:pPr>
                          <w:spacing w:line="360" w:lineRule="atLeast"/>
                          <w:rPr>
                            <w:rFonts w:ascii="Roboto" w:eastAsia="Times New Roman" w:hAnsi="Roboto" w:cs="Times New Roman"/>
                            <w:color w:val="333333"/>
                          </w:rPr>
                        </w:pPr>
                        <w:r w:rsidRPr="00000A00">
                          <w:rPr>
                            <w:rFonts w:ascii="Roboto" w:eastAsia="Times New Roman" w:hAnsi="Roboto" w:cs="Times New Roman"/>
                            <w:color w:val="333333"/>
                          </w:rPr>
                          <w:t>Contact Matt Mika, Vice President, Advocacy &amp; Government Affairs, at </w:t>
                        </w:r>
                        <w:hyperlink r:id="rId5" w:history="1">
                          <w:r w:rsidRPr="00000A00">
                            <w:rPr>
                              <w:rFonts w:ascii="Roboto" w:eastAsia="Times New Roman" w:hAnsi="Roboto" w:cs="Times New Roman"/>
                              <w:color w:val="00837E"/>
                              <w:u w:val="single"/>
                            </w:rPr>
                            <w:t>MattM@AmericanHort.org</w:t>
                          </w:r>
                        </w:hyperlink>
                        <w:r w:rsidRPr="00000A00">
                          <w:rPr>
                            <w:rFonts w:ascii="Roboto" w:eastAsia="Times New Roman" w:hAnsi="Roboto" w:cs="Times New Roman"/>
                            <w:color w:val="333333"/>
                          </w:rPr>
                          <w:t> or 202-789-2900 with questions.</w:t>
                        </w:r>
                      </w:p>
                      <w:p w14:paraId="0F351FA2" w14:textId="77777777" w:rsidR="00000A00" w:rsidRPr="00000A00" w:rsidRDefault="00000A00" w:rsidP="00000A00">
                        <w:pPr>
                          <w:jc w:val="center"/>
                          <w:rPr>
                            <w:rFonts w:ascii="Times New Roman" w:eastAsia="Times New Roman" w:hAnsi="Times New Roman" w:cs="Times New Roman"/>
                          </w:rPr>
                        </w:pPr>
                      </w:p>
                    </w:tc>
                  </w:tr>
                </w:tbl>
                <w:p w14:paraId="3F36A5F0" w14:textId="77777777" w:rsidR="00000A00" w:rsidRPr="00000A00" w:rsidRDefault="00000A00" w:rsidP="00000A00">
                  <w:pPr>
                    <w:rPr>
                      <w:rFonts w:ascii="Times New Roman" w:eastAsia="Times New Roman" w:hAnsi="Times New Roman" w:cs="Times New Roman"/>
                    </w:rPr>
                  </w:pPr>
                </w:p>
              </w:tc>
            </w:tr>
          </w:tbl>
          <w:p w14:paraId="62870F18" w14:textId="77777777" w:rsidR="00000A00" w:rsidRPr="00000A00" w:rsidRDefault="00000A00" w:rsidP="00000A00">
            <w:pPr>
              <w:jc w:val="center"/>
              <w:rPr>
                <w:rFonts w:ascii="Times New Roman" w:eastAsia="Times New Roman" w:hAnsi="Times New Roman" w:cs="Times New Roman"/>
              </w:rPr>
            </w:pPr>
          </w:p>
        </w:tc>
      </w:tr>
    </w:tbl>
    <w:p w14:paraId="2402F22D" w14:textId="77777777" w:rsidR="007414A8" w:rsidRDefault="007414A8"/>
    <w:sectPr w:rsidR="007414A8" w:rsidSect="00E26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00"/>
    <w:rsid w:val="00000A00"/>
    <w:rsid w:val="00243262"/>
    <w:rsid w:val="007414A8"/>
    <w:rsid w:val="00745010"/>
    <w:rsid w:val="007E6AE5"/>
    <w:rsid w:val="00C61693"/>
    <w:rsid w:val="00DA5FDB"/>
    <w:rsid w:val="00E26A1A"/>
    <w:rsid w:val="00FC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88980"/>
  <w15:chartTrackingRefBased/>
  <w15:docId w15:val="{8EB959CF-25D9-1F4B-AF46-9E2C5130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00A0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A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0A0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00A00"/>
  </w:style>
  <w:style w:type="character" w:styleId="Strong">
    <w:name w:val="Strong"/>
    <w:basedOn w:val="DefaultParagraphFont"/>
    <w:uiPriority w:val="22"/>
    <w:qFormat/>
    <w:rsid w:val="00000A00"/>
    <w:rPr>
      <w:b/>
      <w:bCs/>
    </w:rPr>
  </w:style>
  <w:style w:type="character" w:styleId="Hyperlink">
    <w:name w:val="Hyperlink"/>
    <w:basedOn w:val="DefaultParagraphFont"/>
    <w:uiPriority w:val="99"/>
    <w:semiHidden/>
    <w:unhideWhenUsed/>
    <w:rsid w:val="00000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9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m@americanhort.org" TargetMode="External"/><Relationship Id="rId4" Type="http://schemas.openxmlformats.org/officeDocument/2006/relationships/hyperlink" Target="https://americanhort.lt.acemlnb.com/Prod/link-tracker?redirectUrl=aHR0cHMlM0ElMkYlMkZjZG4ueW1hd3MuY29tJTJGbWVtYmVycy5hbWVyaWNhbmhvcnQub3JnJTJGcmVzb3VyY2UlMkZyZXNtZ3IlMkZjb250ZW50JTJGYWR2b2NhY3klMkYyMDI0JTJGVGhlX0NvcnBvcmF0ZV9UcmFuc3BhcmVuY3lfQS5wZGY=&amp;sig=6wZwA93jd5DYb3LwNwykDt7uLy7BRE5FN6SkkS37sUEc&amp;iat=1710878476&amp;a=%7C%7C253233009%7C%7C&amp;account=americanhort%2Eactivehosted%2Ecom&amp;email=nF04dJhvPDnvXVK%2BSvqaonnqFoP9JO%2Fj8lAe4w%3D%3D%3AZpZF9TpXOTqb339t6EfpPlAe%2F9PHh63X&amp;s=d55212ff176b5c7e9dad8313d5ebc7a3&amp;i=2132A2320A3A51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Upton</dc:creator>
  <cp:keywords/>
  <dc:description/>
  <cp:lastModifiedBy>Amy Upton</cp:lastModifiedBy>
  <cp:revision>1</cp:revision>
  <dcterms:created xsi:type="dcterms:W3CDTF">2024-04-02T14:40:00Z</dcterms:created>
  <dcterms:modified xsi:type="dcterms:W3CDTF">2024-04-02T14:43:00Z</dcterms:modified>
</cp:coreProperties>
</file>