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F8151" w14:textId="7464CE91" w:rsidR="00D918AA" w:rsidRDefault="00D918AA" w:rsidP="00CC2FDA">
      <w:pPr>
        <w:pStyle w:val="NormalWeb"/>
        <w:rPr>
          <w:rFonts w:ascii="Nirmala UI" w:hAnsi="Nirmala UI" w:cs="Nirmala UI"/>
          <w:b/>
          <w:bCs/>
          <w:lang w:val="es-ES"/>
        </w:rPr>
      </w:pPr>
      <w:bookmarkStart w:id="0" w:name="_GoBack"/>
      <w:r>
        <w:rPr>
          <w:rFonts w:ascii="Nirmala UI" w:hAnsi="Nirmala UI" w:cs="Nirmala UI"/>
          <w:b/>
          <w:bCs/>
          <w:noProof/>
          <w:lang w:val="es-ES"/>
          <w14:ligatures w14:val="standardContextual"/>
        </w:rPr>
        <w:drawing>
          <wp:inline distT="0" distB="0" distL="0" distR="0" wp14:anchorId="5A559359" wp14:editId="4CD5E091">
            <wp:extent cx="5943600" cy="3959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uip Exposition | Photo 1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bookmarkEnd w:id="0"/>
    <w:p w14:paraId="57121E7F" w14:textId="746C0EC5" w:rsidR="00CC2FDA" w:rsidRPr="00523E8E" w:rsidRDefault="00CC2FDA" w:rsidP="00CC2FDA">
      <w:pPr>
        <w:pStyle w:val="NormalWeb"/>
        <w:rPr>
          <w:lang w:val="es-ES"/>
        </w:rPr>
      </w:pPr>
      <w:r w:rsidRPr="00523E8E">
        <w:rPr>
          <w:rFonts w:ascii="Nirmala UI" w:hAnsi="Nirmala UI" w:cs="Nirmala UI"/>
          <w:b/>
          <w:bCs/>
          <w:lang w:val="es-ES"/>
        </w:rPr>
        <w:t>Equipo de césped de primavera: Mantenga a sus equipos seguros con estos 9 consejos</w:t>
      </w:r>
    </w:p>
    <w:p w14:paraId="6D28D131" w14:textId="77777777" w:rsidR="00CC2FDA" w:rsidRPr="003C63D0" w:rsidRDefault="00CC2FDA" w:rsidP="00CC2FDA">
      <w:pPr>
        <w:pStyle w:val="NormalWeb"/>
        <w:rPr>
          <w:rFonts w:ascii="Nirmala UI" w:hAnsi="Nirmala UI" w:cs="Nirmala UI"/>
          <w:lang w:val="es-ES"/>
        </w:rPr>
      </w:pPr>
      <w:r w:rsidRPr="003C63D0">
        <w:rPr>
          <w:rFonts w:ascii="Nirmala UI" w:hAnsi="Nirmala UI" w:cs="Nirmala UI"/>
          <w:lang w:val="es-ES"/>
        </w:rPr>
        <w:t xml:space="preserve">Se acerca la primavera y los contratistas de paisajismo comerciales se están preparando para su temporada alta. El </w:t>
      </w:r>
      <w:hyperlink r:id="rId5" w:history="1">
        <w:proofErr w:type="spellStart"/>
        <w:r w:rsidRPr="003C63D0">
          <w:rPr>
            <w:rStyle w:val="Hyperlink"/>
            <w:rFonts w:ascii="Nirmala UI" w:hAnsi="Nirmala UI" w:cs="Nirmala UI"/>
            <w:lang w:val="es-ES"/>
          </w:rPr>
          <w:t>Outdoor</w:t>
        </w:r>
        <w:proofErr w:type="spellEnd"/>
        <w:r w:rsidRPr="003C63D0">
          <w:rPr>
            <w:rStyle w:val="Hyperlink"/>
            <w:rFonts w:ascii="Nirmala UI" w:hAnsi="Nirmala UI" w:cs="Nirmala UI"/>
            <w:lang w:val="es-ES"/>
          </w:rPr>
          <w:t xml:space="preserve"> </w:t>
        </w:r>
        <w:proofErr w:type="spellStart"/>
        <w:r w:rsidRPr="003C63D0">
          <w:rPr>
            <w:rStyle w:val="Hyperlink"/>
            <w:rFonts w:ascii="Nirmala UI" w:hAnsi="Nirmala UI" w:cs="Nirmala UI"/>
            <w:lang w:val="es-ES"/>
          </w:rPr>
          <w:t>Power</w:t>
        </w:r>
        <w:proofErr w:type="spellEnd"/>
        <w:r w:rsidRPr="003C63D0">
          <w:rPr>
            <w:rStyle w:val="Hyperlink"/>
            <w:rFonts w:ascii="Nirmala UI" w:hAnsi="Nirmala UI" w:cs="Nirmala UI"/>
            <w:lang w:val="es-ES"/>
          </w:rPr>
          <w:t xml:space="preserve"> </w:t>
        </w:r>
        <w:proofErr w:type="spellStart"/>
        <w:r w:rsidRPr="003C63D0">
          <w:rPr>
            <w:rStyle w:val="Hyperlink"/>
            <w:rFonts w:ascii="Nirmala UI" w:hAnsi="Nirmala UI" w:cs="Nirmala UI"/>
            <w:lang w:val="es-ES"/>
          </w:rPr>
          <w:t>Equipment</w:t>
        </w:r>
        <w:proofErr w:type="spellEnd"/>
        <w:r w:rsidRPr="003C63D0">
          <w:rPr>
            <w:rStyle w:val="Hyperlink"/>
            <w:rFonts w:ascii="Nirmala UI" w:hAnsi="Nirmala UI" w:cs="Nirmala UI"/>
            <w:lang w:val="es-ES"/>
          </w:rPr>
          <w:t xml:space="preserve"> </w:t>
        </w:r>
        <w:proofErr w:type="spellStart"/>
        <w:r w:rsidRPr="003C63D0">
          <w:rPr>
            <w:rStyle w:val="Hyperlink"/>
            <w:rFonts w:ascii="Nirmala UI" w:hAnsi="Nirmala UI" w:cs="Nirmala UI"/>
            <w:lang w:val="es-ES"/>
          </w:rPr>
          <w:t>Institute</w:t>
        </w:r>
        <w:proofErr w:type="spellEnd"/>
      </w:hyperlink>
      <w:r w:rsidRPr="003C63D0">
        <w:rPr>
          <w:rFonts w:ascii="Nirmala UI" w:hAnsi="Nirmala UI" w:cs="Nirmala UI"/>
          <w:lang w:val="es-ES"/>
        </w:rPr>
        <w:t xml:space="preserve"> (OPEI), una asociación comercial internacional que representa a los fabricantes y proveedores de equipos eléctricos para exteriores, motores pequeños, vehículos utilitarios, carros de golf y vehículos de transporte personal, recuerda a los paisajistas que tengan en cuenta la seguridad cuando salen al aire libre.</w:t>
      </w:r>
    </w:p>
    <w:p w14:paraId="51EE2396" w14:textId="77777777" w:rsidR="00CC2FDA" w:rsidRPr="003C63D0" w:rsidRDefault="00CC2FDA" w:rsidP="00CC2FDA">
      <w:pPr>
        <w:pStyle w:val="NormalWeb"/>
        <w:rPr>
          <w:lang w:val="es-ES"/>
        </w:rPr>
      </w:pPr>
      <w:r w:rsidRPr="003C63D0">
        <w:rPr>
          <w:rFonts w:ascii="Nirmala UI" w:hAnsi="Nirmala UI" w:cs="Nirmala UI"/>
          <w:lang w:val="es-ES"/>
        </w:rPr>
        <w:t xml:space="preserve">"Antes de enviar a sus </w:t>
      </w:r>
      <w:r>
        <w:rPr>
          <w:rFonts w:ascii="Nirmala UI" w:hAnsi="Nirmala UI" w:cs="Nirmala UI"/>
          <w:lang w:val="es-ES"/>
        </w:rPr>
        <w:t>equipos</w:t>
      </w:r>
      <w:r w:rsidRPr="003C63D0">
        <w:rPr>
          <w:rFonts w:ascii="Nirmala UI" w:hAnsi="Nirmala UI" w:cs="Nirmala UI"/>
          <w:lang w:val="es-ES"/>
        </w:rPr>
        <w:t xml:space="preserve"> a usar una cortadora de césped, una recortadora, un soplador, una </w:t>
      </w:r>
      <w:proofErr w:type="spellStart"/>
      <w:r w:rsidRPr="003C63D0">
        <w:rPr>
          <w:rFonts w:ascii="Nirmala UI" w:hAnsi="Nirmala UI" w:cs="Nirmala UI"/>
          <w:lang w:val="es-ES"/>
        </w:rPr>
        <w:t>hidrolavadora</w:t>
      </w:r>
      <w:proofErr w:type="spellEnd"/>
      <w:r w:rsidRPr="003C63D0">
        <w:rPr>
          <w:rFonts w:ascii="Nirmala UI" w:hAnsi="Nirmala UI" w:cs="Nirmala UI"/>
          <w:lang w:val="es-ES"/>
        </w:rPr>
        <w:t xml:space="preserve">, una motosierra, una podadora, un generador portátil u otro equipo eléctrico para exteriores esta temporada, es importante que piensen primero en la seguridad", dijo Kris Kiser, presidente de OPEI. "Las empresas de paisajismo tienen una temporada ocupada por delante, pero también deben tomarse el tiempo para realizar el mantenimiento </w:t>
      </w:r>
      <w:r w:rsidRPr="003C63D0">
        <w:rPr>
          <w:rFonts w:ascii="Nirmala UI" w:hAnsi="Nirmala UI" w:cs="Nirmala UI"/>
          <w:lang w:val="es-ES"/>
        </w:rPr>
        <w:lastRenderedPageBreak/>
        <w:t>para garantizar que sus equipos funcionen de manera segura y estén listos para realizar el trabajo durante toda la temporada".</w:t>
      </w:r>
    </w:p>
    <w:p w14:paraId="37D802CA" w14:textId="77777777" w:rsidR="00CC2FDA" w:rsidRDefault="00CC2FDA" w:rsidP="00CC2FDA">
      <w:pPr>
        <w:pStyle w:val="NormalWeb"/>
        <w:rPr>
          <w:rFonts w:ascii="Nirmala UI" w:hAnsi="Nirmala UI" w:cs="Nirmala UI"/>
          <w:lang w:val="es-ES"/>
        </w:rPr>
      </w:pPr>
      <w:r w:rsidRPr="003C63D0">
        <w:rPr>
          <w:rFonts w:ascii="Nirmala UI" w:hAnsi="Nirmala UI" w:cs="Nirmala UI"/>
          <w:lang w:val="es-ES"/>
        </w:rPr>
        <w:t xml:space="preserve">A </w:t>
      </w:r>
      <w:proofErr w:type="gramStart"/>
      <w:r w:rsidRPr="003C63D0">
        <w:rPr>
          <w:rFonts w:ascii="Nirmala UI" w:hAnsi="Nirmala UI" w:cs="Nirmala UI"/>
          <w:lang w:val="es-ES"/>
        </w:rPr>
        <w:t>continuación</w:t>
      </w:r>
      <w:proofErr w:type="gramEnd"/>
      <w:r w:rsidRPr="003C63D0">
        <w:rPr>
          <w:rFonts w:ascii="Nirmala UI" w:hAnsi="Nirmala UI" w:cs="Nirmala UI"/>
          <w:lang w:val="es-ES"/>
        </w:rPr>
        <w:t xml:space="preserve"> se ofrecen consejos para ayudar a garantizar que los equipos de jardinería estén seguros:</w:t>
      </w:r>
    </w:p>
    <w:p w14:paraId="74EFDC4A" w14:textId="77777777" w:rsidR="00CC2FDA" w:rsidRPr="00615546" w:rsidRDefault="00CC2FDA" w:rsidP="00CC2FDA">
      <w:pPr>
        <w:pStyle w:val="NormalWeb"/>
        <w:rPr>
          <w:lang w:val="es-ES"/>
        </w:rPr>
      </w:pPr>
      <w:r w:rsidRPr="003C63D0">
        <w:rPr>
          <w:rFonts w:ascii="Nirmala UI" w:hAnsi="Nirmala UI" w:cs="Nirmala UI"/>
          <w:b/>
          <w:bCs/>
          <w:lang w:val="es-ES"/>
        </w:rPr>
        <w:t xml:space="preserve">Lea el manual del propietario. </w:t>
      </w:r>
      <w:r w:rsidRPr="00615546">
        <w:rPr>
          <w:rFonts w:ascii="Nirmala UI" w:hAnsi="Nirmala UI" w:cs="Nirmala UI"/>
          <w:lang w:val="es-ES"/>
        </w:rPr>
        <w:t>Se debe recordar a cada miembro del</w:t>
      </w:r>
      <w:r>
        <w:rPr>
          <w:rFonts w:ascii="Nirmala UI" w:hAnsi="Nirmala UI" w:cs="Nirmala UI"/>
          <w:lang w:val="es-ES"/>
        </w:rPr>
        <w:t xml:space="preserve"> equipo </w:t>
      </w:r>
      <w:r w:rsidRPr="00615546">
        <w:rPr>
          <w:rFonts w:ascii="Nirmala UI" w:hAnsi="Nirmala UI" w:cs="Nirmala UI"/>
          <w:lang w:val="es-ES"/>
        </w:rPr>
        <w:t xml:space="preserve">que siga todas las pautas para el equipo eléctrico exterior y se familiarice con los controles. Revise cómo encender, apagar y usar el equipo de manera segura, especialmente con los nuevos miembros del equipo. Los manuales están disponibles en línea y en muchos idiomas para garantizar que todos trabajen con el mismo conjunto de instrucciones. </w:t>
      </w:r>
    </w:p>
    <w:p w14:paraId="30E30C14" w14:textId="77777777" w:rsidR="00CC2FDA" w:rsidRPr="00615546" w:rsidRDefault="00CC2FDA" w:rsidP="00CC2FDA">
      <w:pPr>
        <w:pStyle w:val="NormalWeb"/>
        <w:rPr>
          <w:rFonts w:ascii="Nirmala UI" w:hAnsi="Nirmala UI" w:cs="Nirmala UI"/>
          <w:lang w:val="es-ES"/>
        </w:rPr>
      </w:pPr>
      <w:r w:rsidRPr="00CC2FDA">
        <w:rPr>
          <w:rFonts w:ascii="Nirmala UI" w:hAnsi="Nirmala UI" w:cs="Nirmala UI"/>
          <w:b/>
          <w:bCs/>
          <w:lang w:val="es-ES"/>
        </w:rPr>
        <w:t xml:space="preserve">Inspeccione el equipo. </w:t>
      </w:r>
      <w:r w:rsidRPr="00615546">
        <w:rPr>
          <w:rFonts w:ascii="Nirmala UI" w:hAnsi="Nirmala UI" w:cs="Nirmala UI"/>
          <w:lang w:val="es-ES"/>
        </w:rPr>
        <w:t xml:space="preserve">Revise el filtro de aire, el nivel de aceite y el tanque de gasolina. También verifique si hay correas sueltas y piezas faltantes o dañadas. Asegúrese de que todos los protectores de seguridad estén en su lugar. Reemplace las piezas necesarias o lleve el equipo a un representante de servicio calificado para que lo repare. Si usa equipo eléctrico, asegúrese de que las baterías estén en buen estado de funcionamiento y que no estén agrietadas ni dañadas. </w:t>
      </w:r>
    </w:p>
    <w:p w14:paraId="11532539" w14:textId="77777777" w:rsidR="00CC2FDA" w:rsidRPr="00615546" w:rsidRDefault="00CC2FDA" w:rsidP="00CC2FDA">
      <w:pPr>
        <w:rPr>
          <w:rFonts w:ascii="Nirmala UI" w:hAnsi="Nirmala UI" w:cs="Nirmala UI"/>
          <w:sz w:val="24"/>
          <w:szCs w:val="24"/>
          <w:lang w:val="es-ES"/>
        </w:rPr>
      </w:pPr>
      <w:r w:rsidRPr="00615546">
        <w:rPr>
          <w:rFonts w:ascii="Nirmala UI" w:hAnsi="Nirmala UI" w:cs="Nirmala UI"/>
          <w:b/>
          <w:bCs/>
          <w:sz w:val="24"/>
          <w:szCs w:val="24"/>
          <w:lang w:val="es-ES"/>
        </w:rPr>
        <w:t>Asegúrese de que todas las funciones de seguridad estén operativas.</w:t>
      </w:r>
      <w:r>
        <w:rPr>
          <w:rFonts w:ascii="Nirmala UI" w:hAnsi="Nirmala UI" w:cs="Nirmala UI"/>
          <w:b/>
          <w:bCs/>
          <w:sz w:val="24"/>
          <w:szCs w:val="24"/>
          <w:lang w:val="es-ES"/>
        </w:rPr>
        <w:t xml:space="preserve"> </w:t>
      </w:r>
      <w:r w:rsidRPr="00615546">
        <w:rPr>
          <w:rFonts w:ascii="Nirmala UI" w:hAnsi="Nirmala UI" w:cs="Nirmala UI"/>
          <w:sz w:val="24"/>
          <w:szCs w:val="24"/>
          <w:lang w:val="es-ES"/>
        </w:rPr>
        <w:t>No desactive ni modifique el equipo de seguridad instalado por el fabricante. Asegúrese de revisar esto con sus equipos de trabajo y revisar el equipo cuando regrese de un lugar de trabajo.</w:t>
      </w:r>
    </w:p>
    <w:p w14:paraId="3DC7B9E6" w14:textId="77777777" w:rsidR="00CC2FDA" w:rsidRPr="00615546" w:rsidRDefault="00CC2FDA" w:rsidP="00CC2FDA">
      <w:pPr>
        <w:rPr>
          <w:rFonts w:ascii="Nirmala UI" w:hAnsi="Nirmala UI" w:cs="Nirmala UI"/>
          <w:sz w:val="24"/>
          <w:szCs w:val="24"/>
          <w:lang w:val="es-ES"/>
        </w:rPr>
      </w:pPr>
      <w:r w:rsidRPr="00615546">
        <w:rPr>
          <w:rFonts w:ascii="Nirmala UI" w:hAnsi="Nirmala UI" w:cs="Nirmala UI"/>
          <w:b/>
          <w:bCs/>
          <w:sz w:val="24"/>
          <w:szCs w:val="24"/>
          <w:lang w:val="es-ES"/>
        </w:rPr>
        <w:t>Revise el equipo con sus equipos de trabajo antes de que comience la temporada.</w:t>
      </w:r>
      <w:r w:rsidRPr="00615546">
        <w:rPr>
          <w:rFonts w:ascii="Nirmala UI" w:hAnsi="Nirmala UI" w:cs="Nirmala UI"/>
          <w:sz w:val="24"/>
          <w:szCs w:val="24"/>
          <w:lang w:val="es-ES"/>
        </w:rPr>
        <w:t xml:space="preserve"> Asegúrese de que todos sus trabajadores entiendan las características de seguridad del equipo que están utilizando y que sigan las pautas del fabricante y los mensajes en el producto para una operación segura. Realice comprobaciones de seguridad puntuales en los lugares de trabajo e incorpore comprobaciones de seguridad en su despliegue matutino.</w:t>
      </w:r>
    </w:p>
    <w:p w14:paraId="32337D41" w14:textId="77777777" w:rsidR="00CC2FDA" w:rsidRPr="00615546" w:rsidRDefault="00CC2FDA" w:rsidP="00CC2FDA">
      <w:pPr>
        <w:pStyle w:val="NormalWeb"/>
        <w:rPr>
          <w:lang w:val="es-ES"/>
        </w:rPr>
      </w:pPr>
      <w:r w:rsidRPr="00615546">
        <w:rPr>
          <w:rFonts w:ascii="Nirmala UI" w:hAnsi="Nirmala UI" w:cs="Nirmala UI"/>
          <w:b/>
          <w:bCs/>
          <w:lang w:val="es-ES"/>
        </w:rPr>
        <w:lastRenderedPageBreak/>
        <w:t>Proteja su energía usando solo E10 o menos combustible en equipos para exteriores que funcionan con gasolina.</w:t>
      </w:r>
      <w:r w:rsidRPr="00615546">
        <w:rPr>
          <w:rFonts w:ascii="Nirmala UI" w:hAnsi="Nirmala UI" w:cs="Nirmala UI"/>
          <w:lang w:val="es-ES"/>
        </w:rPr>
        <w:t xml:space="preserve"> Con los combustibles actuales con mayor contenido de etanol, la mayoría de los fabricantes recomiendan el uso de un estabilizador de combustible, especialmente si no se agota toda la gasolina comprada de inmediato. Algunas estaciones de servicio pueden ofrecer gasolina con un 15 por ciento de etanol (E15) o mezclas de combustible de etanol superior, pero cualquier combustible que tenga más del 10 por ciento de etanol puede dañar, y es ilegal usarlo, en equipos de motores pequeños que no están diseñados para ello. </w:t>
      </w:r>
    </w:p>
    <w:p w14:paraId="7C58F223" w14:textId="77777777" w:rsidR="00CC2FDA" w:rsidRPr="00615546" w:rsidRDefault="00CC2FDA" w:rsidP="00CC2FDA">
      <w:pPr>
        <w:pStyle w:val="NormalWeb"/>
        <w:rPr>
          <w:lang w:val="es-ES"/>
        </w:rPr>
      </w:pPr>
      <w:r w:rsidRPr="00615546">
        <w:rPr>
          <w:rFonts w:ascii="Nirmala UI" w:hAnsi="Nirmala UI" w:cs="Nirmala UI"/>
          <w:b/>
          <w:bCs/>
          <w:lang w:val="es-ES"/>
        </w:rPr>
        <w:t>Almacene el combustible de forma segura.</w:t>
      </w:r>
      <w:r w:rsidRPr="00615546">
        <w:rPr>
          <w:rFonts w:ascii="Nirmala UI" w:hAnsi="Nirmala UI" w:cs="Nirmala UI"/>
          <w:lang w:val="es-ES"/>
        </w:rPr>
        <w:t xml:space="preserve"> Etiquete su lata de combustible con la fecha de compra y el contenido de etanol del combustible. Nunca coloque gasolina "vieja" en el equipo. Si no sabe la fecha de compra, deseche de manera segura el combustible en la lata y compre combustible nuevo. Guarde siempre el combustible fuera del alcance de los niños o las mascotas y en recipientes aprobados. El combustible nunca debe permanecer en el tanque de gasolina durante más de 30 días, ya que puede tener problemas de arranque o funcionamiento o dañar el equipo. </w:t>
      </w:r>
    </w:p>
    <w:p w14:paraId="7B4E2C83" w14:textId="77777777" w:rsidR="00CC2FDA" w:rsidRPr="00615546" w:rsidRDefault="00CC2FDA" w:rsidP="00CC2FDA">
      <w:pPr>
        <w:pStyle w:val="NormalWeb"/>
        <w:rPr>
          <w:lang w:val="es-ES"/>
        </w:rPr>
      </w:pPr>
      <w:r w:rsidRPr="00615546">
        <w:rPr>
          <w:rFonts w:ascii="Nirmala UI" w:hAnsi="Nirmala UI" w:cs="Nirmala UI"/>
          <w:b/>
          <w:bCs/>
          <w:lang w:val="es-ES"/>
        </w:rPr>
        <w:t>En el caso de los equipos que funcionan con baterías, recargue su equipo solo con el cargador especificado por el fabricante.</w:t>
      </w:r>
      <w:r w:rsidRPr="00615546">
        <w:rPr>
          <w:rFonts w:ascii="Nirmala UI" w:hAnsi="Nirmala UI" w:cs="Nirmala UI"/>
          <w:lang w:val="es-ES"/>
        </w:rPr>
        <w:t xml:space="preserve"> Un cargador que es adecuado para un tipo de paquete de baterías puede crear un riesgo de incendio cuando se usa con otro paquete de baterías. Siga todas las instrucciones de carga y no cargue la batería o la herramienta fuera del rango de temperatura especificado en las instrucciones.</w:t>
      </w:r>
    </w:p>
    <w:p w14:paraId="010E8AEA" w14:textId="77777777" w:rsidR="00CC2FDA" w:rsidRPr="00615546" w:rsidRDefault="00CC2FDA" w:rsidP="00CC2FDA">
      <w:pPr>
        <w:pStyle w:val="NormalWeb"/>
        <w:rPr>
          <w:lang w:val="es-ES"/>
        </w:rPr>
      </w:pPr>
      <w:r w:rsidRPr="00615546">
        <w:rPr>
          <w:rFonts w:ascii="Nirmala UI" w:hAnsi="Nirmala UI" w:cs="Nirmala UI"/>
          <w:b/>
          <w:bCs/>
          <w:lang w:val="es-ES"/>
        </w:rPr>
        <w:t xml:space="preserve">Guarde las baterías de forma segura. </w:t>
      </w:r>
      <w:r w:rsidRPr="00615546">
        <w:rPr>
          <w:rFonts w:ascii="Nirmala UI" w:hAnsi="Nirmala UI" w:cs="Nirmala UI"/>
          <w:lang w:val="es-ES"/>
        </w:rPr>
        <w:t>Cuando la batería no esté en uso, manténgala alejada de otros objetos metálicos, como clips, monedas, llaves, clavos, tornillos u otros artículos metálicos pequeños que puedan hacer una conexión de un terminal a otro. Almacenar los terminales de la batería juntos puede causar quemaduras o un incendio.</w:t>
      </w:r>
    </w:p>
    <w:p w14:paraId="25F3E716" w14:textId="77777777" w:rsidR="00CC2FDA" w:rsidRPr="00615546" w:rsidRDefault="00CC2FDA" w:rsidP="00CC2FDA">
      <w:pPr>
        <w:pStyle w:val="NormalWeb"/>
        <w:rPr>
          <w:lang w:val="es-ES"/>
        </w:rPr>
      </w:pPr>
      <w:r w:rsidRPr="00615546">
        <w:rPr>
          <w:rFonts w:ascii="Nirmala UI" w:hAnsi="Nirmala UI" w:cs="Nirmala UI"/>
          <w:b/>
          <w:bCs/>
          <w:lang w:val="es-ES"/>
        </w:rPr>
        <w:lastRenderedPageBreak/>
        <w:t>Limpie su equipo y guárdelo en un lugar seco.</w:t>
      </w:r>
      <w:r w:rsidRPr="00615546">
        <w:rPr>
          <w:rFonts w:ascii="Nirmala UI" w:hAnsi="Nirmala UI" w:cs="Nirmala UI"/>
          <w:lang w:val="es-ES"/>
        </w:rPr>
        <w:t xml:space="preserve"> Retire la suciedad, el aceite o la hierba. Los equipos limpios funcionarán de manera más eficiente y durarán más. Nunca guarde su equipo en un lugar húmedo o mojado.</w:t>
      </w:r>
    </w:p>
    <w:p w14:paraId="18F4F3B0" w14:textId="77777777" w:rsidR="00CC2FDA" w:rsidRPr="00615546" w:rsidRDefault="00CC2FDA" w:rsidP="00CC2FDA">
      <w:pPr>
        <w:pStyle w:val="NormalWeb"/>
        <w:rPr>
          <w:lang w:val="es-ES"/>
        </w:rPr>
      </w:pPr>
      <w:r w:rsidRPr="00615546">
        <w:rPr>
          <w:rFonts w:ascii="Nirmala UI" w:hAnsi="Nirmala UI" w:cs="Nirmala UI"/>
          <w:lang w:val="es-ES"/>
        </w:rPr>
        <w:t xml:space="preserve">Para obtener más información, visite </w:t>
      </w:r>
      <w:hyperlink r:id="rId6" w:history="1">
        <w:r w:rsidRPr="00615546">
          <w:rPr>
            <w:rStyle w:val="Hyperlink"/>
            <w:rFonts w:ascii="Nirmala UI" w:hAnsi="Nirmala UI" w:cs="Nirmala UI"/>
            <w:color w:val="0563C1"/>
            <w:lang w:val="es-ES"/>
          </w:rPr>
          <w:t>www.opei.org</w:t>
        </w:r>
      </w:hyperlink>
      <w:r w:rsidRPr="00615546">
        <w:rPr>
          <w:rFonts w:ascii="Nirmala UI" w:hAnsi="Nirmala UI" w:cs="Nirmala UI"/>
          <w:lang w:val="es-ES"/>
        </w:rPr>
        <w:t xml:space="preserve">. Para obtener más información sobre el abastecimiento seguro de combustible, visite </w:t>
      </w:r>
      <w:hyperlink r:id="rId7" w:history="1">
        <w:r w:rsidRPr="00615546">
          <w:rPr>
            <w:rStyle w:val="Hyperlink"/>
            <w:rFonts w:ascii="Nirmala UI" w:hAnsi="Nirmala UI" w:cs="Nirmala UI"/>
            <w:color w:val="0563C1"/>
            <w:lang w:val="es-ES"/>
          </w:rPr>
          <w:t>www.LookBeforeYouPump.com</w:t>
        </w:r>
      </w:hyperlink>
      <w:r w:rsidRPr="00615546">
        <w:rPr>
          <w:lang w:val="es-ES"/>
        </w:rPr>
        <w:t>.</w:t>
      </w:r>
    </w:p>
    <w:p w14:paraId="08356ADD" w14:textId="77777777" w:rsidR="00CC2FDA" w:rsidRPr="00CC2FDA" w:rsidRDefault="00CC2FDA" w:rsidP="00CC2FDA">
      <w:pPr>
        <w:pStyle w:val="NormalWeb"/>
        <w:rPr>
          <w:rFonts w:ascii="Nirmala UI" w:hAnsi="Nirmala UI" w:cs="Nirmala UI"/>
          <w:lang w:val="es-ES"/>
        </w:rPr>
      </w:pPr>
      <w:r w:rsidRPr="00CC2FDA">
        <w:rPr>
          <w:rFonts w:ascii="Nirmala UI" w:hAnsi="Nirmala UI" w:cs="Nirmala UI"/>
          <w:lang w:val="es-ES"/>
        </w:rPr>
        <w:t>Acerca de OPEI</w:t>
      </w:r>
    </w:p>
    <w:p w14:paraId="045159CC" w14:textId="4414F138" w:rsidR="00CC2FDA" w:rsidRDefault="00CC2FDA" w:rsidP="00CC2FDA">
      <w:pPr>
        <w:rPr>
          <w:rFonts w:ascii="Nirmala UI" w:hAnsi="Nirmala UI" w:cs="Nirmala UI"/>
          <w:sz w:val="24"/>
          <w:szCs w:val="24"/>
          <w:lang w:val="es-ES"/>
        </w:rPr>
      </w:pPr>
      <w:r w:rsidRPr="00615546">
        <w:rPr>
          <w:rFonts w:ascii="Nirmala UI" w:hAnsi="Nirmala UI" w:cs="Nirmala UI"/>
          <w:sz w:val="24"/>
          <w:szCs w:val="24"/>
          <w:lang w:val="es-ES"/>
        </w:rPr>
        <w:t xml:space="preserve">OPEI es una asociación comercial internacional que representa a fabricantes y proveedores de equipos de energía, motores pequeños, sistemas de energía de baterías, generadores portátiles, vehículos utilitarios y de transporte personal, y carros de golf. OPEI es la voz de defensa de la industria, y una Organización de Desarrollo de Estándares reconocida por el Instituto Nacional Estadounidense de Estándares (ANSI) y activa internacionalmente a través de la Organización Internacional de Normalización (ISO) y la Comisión Electrotécnica Internacional (IEC) en el desarrollo de estándares de seguridad y rendimiento. OPEI es propietaria de </w:t>
      </w:r>
      <w:proofErr w:type="spellStart"/>
      <w:r w:rsidRPr="00615546">
        <w:rPr>
          <w:rFonts w:ascii="Nirmala UI" w:hAnsi="Nirmala UI" w:cs="Nirmala UI"/>
          <w:sz w:val="24"/>
          <w:szCs w:val="24"/>
          <w:lang w:val="es-ES"/>
        </w:rPr>
        <w:t>Equip</w:t>
      </w:r>
      <w:proofErr w:type="spellEnd"/>
      <w:r w:rsidRPr="00615546">
        <w:rPr>
          <w:rFonts w:ascii="Nirmala UI" w:hAnsi="Nirmala UI" w:cs="Nirmala UI"/>
          <w:sz w:val="24"/>
          <w:szCs w:val="24"/>
          <w:lang w:val="es-ES"/>
        </w:rPr>
        <w:t xml:space="preserve"> </w:t>
      </w:r>
      <w:proofErr w:type="spellStart"/>
      <w:r w:rsidRPr="00615546">
        <w:rPr>
          <w:rFonts w:ascii="Nirmala UI" w:hAnsi="Nirmala UI" w:cs="Nirmala UI"/>
          <w:sz w:val="24"/>
          <w:szCs w:val="24"/>
          <w:lang w:val="es-ES"/>
        </w:rPr>
        <w:t>Exposition</w:t>
      </w:r>
      <w:proofErr w:type="spellEnd"/>
      <w:r w:rsidRPr="00615546">
        <w:rPr>
          <w:rFonts w:ascii="Nirmala UI" w:hAnsi="Nirmala UI" w:cs="Nirmala UI"/>
          <w:sz w:val="24"/>
          <w:szCs w:val="24"/>
          <w:lang w:val="es-ES"/>
        </w:rPr>
        <w:t xml:space="preserve">, la exposición internacional de paisajes, vida al aire libre y equipos, y administra la Fundación </w:t>
      </w:r>
      <w:proofErr w:type="spellStart"/>
      <w:r w:rsidRPr="00615546">
        <w:rPr>
          <w:rFonts w:ascii="Nirmala UI" w:hAnsi="Nirmala UI" w:cs="Nirmala UI"/>
          <w:sz w:val="24"/>
          <w:szCs w:val="24"/>
          <w:lang w:val="es-ES"/>
        </w:rPr>
        <w:t>TurfMutt</w:t>
      </w:r>
      <w:proofErr w:type="spellEnd"/>
      <w:r w:rsidRPr="00615546">
        <w:rPr>
          <w:rFonts w:ascii="Nirmala UI" w:hAnsi="Nirmala UI" w:cs="Nirmala UI"/>
          <w:sz w:val="24"/>
          <w:szCs w:val="24"/>
          <w:lang w:val="es-ES"/>
        </w:rPr>
        <w:t xml:space="preserve">, que dirige el programa de educación ambiental, </w:t>
      </w:r>
      <w:proofErr w:type="spellStart"/>
      <w:r w:rsidRPr="00615546">
        <w:rPr>
          <w:rFonts w:ascii="Nirmala UI" w:hAnsi="Nirmala UI" w:cs="Nirmala UI"/>
          <w:sz w:val="24"/>
          <w:szCs w:val="24"/>
          <w:lang w:val="es-ES"/>
        </w:rPr>
        <w:t>TurfMutt</w:t>
      </w:r>
      <w:proofErr w:type="spellEnd"/>
      <w:r w:rsidRPr="00615546">
        <w:rPr>
          <w:rFonts w:ascii="Nirmala UI" w:hAnsi="Nirmala UI" w:cs="Nirmala UI"/>
          <w:sz w:val="24"/>
          <w:szCs w:val="24"/>
          <w:lang w:val="es-ES"/>
        </w:rPr>
        <w:t>. OPEI-Canadá representa a los miembros en una serie de temas, incluido el reciclaje, las emisiones y otros desarrollos regulatorios en las provincias canadienses.</w:t>
      </w:r>
    </w:p>
    <w:p w14:paraId="7276C350" w14:textId="77777777" w:rsidR="00D918AA" w:rsidRPr="00615546" w:rsidRDefault="00D918AA" w:rsidP="00CC2FDA">
      <w:pPr>
        <w:rPr>
          <w:rFonts w:ascii="Nirmala UI" w:hAnsi="Nirmala UI" w:cs="Nirmala UI"/>
          <w:sz w:val="24"/>
          <w:szCs w:val="24"/>
          <w:lang w:val="es-ES"/>
        </w:rPr>
      </w:pPr>
    </w:p>
    <w:p w14:paraId="3FEE971A" w14:textId="77777777" w:rsidR="00CC2FDA" w:rsidRPr="00615546" w:rsidRDefault="00CC2FDA" w:rsidP="00CC2FDA">
      <w:pPr>
        <w:rPr>
          <w:rFonts w:ascii="Nirmala UI" w:hAnsi="Nirmala UI" w:cs="Nirmala UI"/>
          <w:sz w:val="24"/>
          <w:szCs w:val="24"/>
          <w:lang w:val="es-ES"/>
        </w:rPr>
      </w:pPr>
    </w:p>
    <w:p w14:paraId="0AA3ADEF" w14:textId="54116817" w:rsidR="0033062D" w:rsidRDefault="00D918AA">
      <w:pPr>
        <w:rPr>
          <w:lang w:val="es-ES"/>
        </w:rPr>
      </w:pPr>
      <w:r>
        <w:rPr>
          <w:noProof/>
          <w:lang w:val="es-ES"/>
        </w:rPr>
        <w:lastRenderedPageBreak/>
        <w:drawing>
          <wp:inline distT="0" distB="0" distL="0" distR="0" wp14:anchorId="6CD9728A" wp14:editId="03E06F10">
            <wp:extent cx="5194300" cy="779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ip Exposition | Photo 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4300" cy="7797800"/>
                    </a:xfrm>
                    <a:prstGeom prst="rect">
                      <a:avLst/>
                    </a:prstGeom>
                  </pic:spPr>
                </pic:pic>
              </a:graphicData>
            </a:graphic>
          </wp:inline>
        </w:drawing>
      </w:r>
    </w:p>
    <w:p w14:paraId="3AD32BCC" w14:textId="620D1417" w:rsidR="00D918AA" w:rsidRDefault="00D918AA">
      <w:pPr>
        <w:rPr>
          <w:lang w:val="es-ES"/>
        </w:rPr>
      </w:pPr>
      <w:r>
        <w:rPr>
          <w:noProof/>
          <w:lang w:val="es-ES"/>
        </w:rPr>
        <w:lastRenderedPageBreak/>
        <w:drawing>
          <wp:inline distT="0" distB="0" distL="0" distR="0" wp14:anchorId="576AB2F9" wp14:editId="0D892996">
            <wp:extent cx="5943600" cy="3959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 Exposition | Photo 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2AC8A3D4" w14:textId="4D63974B" w:rsidR="00D918AA" w:rsidRDefault="00D918AA">
      <w:pPr>
        <w:rPr>
          <w:lang w:val="es-ES"/>
        </w:rPr>
      </w:pPr>
      <w:r>
        <w:rPr>
          <w:noProof/>
          <w:lang w:val="es-ES"/>
        </w:rPr>
        <w:drawing>
          <wp:inline distT="0" distB="0" distL="0" distR="0" wp14:anchorId="00A5FD33" wp14:editId="11218121">
            <wp:extent cx="5943600" cy="3959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 Exposition Photo 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00AFFCF4" w14:textId="45B653E3" w:rsidR="00D918AA" w:rsidRPr="00CC2FDA" w:rsidRDefault="00D918AA">
      <w:pPr>
        <w:rPr>
          <w:lang w:val="es-ES"/>
        </w:rPr>
      </w:pPr>
      <w:r>
        <w:rPr>
          <w:noProof/>
          <w:lang w:val="es-ES"/>
        </w:rPr>
        <w:lastRenderedPageBreak/>
        <w:drawing>
          <wp:inline distT="0" distB="0" distL="0" distR="0" wp14:anchorId="7EBCFC89" wp14:editId="2D4C0119">
            <wp:extent cx="5943600" cy="39592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quip Exposition Photo 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sectPr w:rsidR="00D918AA" w:rsidRPr="00CC2F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panose1 w:val="020B06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Nirmala UI">
    <w:altName w:val="Mangal"/>
    <w:panose1 w:val="020B0604020202020204"/>
    <w:charset w:val="00"/>
    <w:family w:val="swiss"/>
    <w:pitch w:val="variable"/>
    <w:sig w:usb0="80FF8023" w:usb1="0200004A" w:usb2="000002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FDA"/>
    <w:rsid w:val="0030105C"/>
    <w:rsid w:val="0033062D"/>
    <w:rsid w:val="00602286"/>
    <w:rsid w:val="00A1220F"/>
    <w:rsid w:val="00CC2FDA"/>
    <w:rsid w:val="00D918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FEE43"/>
  <w15:chartTrackingRefBased/>
  <w15:docId w15:val="{EB64ED99-8991-422E-B123-49038B306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FDA"/>
  </w:style>
  <w:style w:type="paragraph" w:styleId="Heading1">
    <w:name w:val="heading 1"/>
    <w:basedOn w:val="Normal"/>
    <w:next w:val="Normal"/>
    <w:link w:val="Heading1Char"/>
    <w:uiPriority w:val="9"/>
    <w:qFormat/>
    <w:rsid w:val="00CC2F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2F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2F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2F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2F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2F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2F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2F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2F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F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2F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2F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2F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2F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2F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2F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2F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2FDA"/>
    <w:rPr>
      <w:rFonts w:eastAsiaTheme="majorEastAsia" w:cstheme="majorBidi"/>
      <w:color w:val="272727" w:themeColor="text1" w:themeTint="D8"/>
    </w:rPr>
  </w:style>
  <w:style w:type="paragraph" w:styleId="Title">
    <w:name w:val="Title"/>
    <w:basedOn w:val="Normal"/>
    <w:next w:val="Normal"/>
    <w:link w:val="TitleChar"/>
    <w:uiPriority w:val="10"/>
    <w:qFormat/>
    <w:rsid w:val="00CC2F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2F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2F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2F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2FDA"/>
    <w:pPr>
      <w:spacing w:before="160"/>
      <w:jc w:val="center"/>
    </w:pPr>
    <w:rPr>
      <w:i/>
      <w:iCs/>
      <w:color w:val="404040" w:themeColor="text1" w:themeTint="BF"/>
    </w:rPr>
  </w:style>
  <w:style w:type="character" w:customStyle="1" w:styleId="QuoteChar">
    <w:name w:val="Quote Char"/>
    <w:basedOn w:val="DefaultParagraphFont"/>
    <w:link w:val="Quote"/>
    <w:uiPriority w:val="29"/>
    <w:rsid w:val="00CC2FDA"/>
    <w:rPr>
      <w:i/>
      <w:iCs/>
      <w:color w:val="404040" w:themeColor="text1" w:themeTint="BF"/>
    </w:rPr>
  </w:style>
  <w:style w:type="paragraph" w:styleId="ListParagraph">
    <w:name w:val="List Paragraph"/>
    <w:basedOn w:val="Normal"/>
    <w:uiPriority w:val="34"/>
    <w:qFormat/>
    <w:rsid w:val="00CC2FDA"/>
    <w:pPr>
      <w:ind w:left="720"/>
      <w:contextualSpacing/>
    </w:pPr>
  </w:style>
  <w:style w:type="character" w:styleId="IntenseEmphasis">
    <w:name w:val="Intense Emphasis"/>
    <w:basedOn w:val="DefaultParagraphFont"/>
    <w:uiPriority w:val="21"/>
    <w:qFormat/>
    <w:rsid w:val="00CC2FDA"/>
    <w:rPr>
      <w:i/>
      <w:iCs/>
      <w:color w:val="0F4761" w:themeColor="accent1" w:themeShade="BF"/>
    </w:rPr>
  </w:style>
  <w:style w:type="paragraph" w:styleId="IntenseQuote">
    <w:name w:val="Intense Quote"/>
    <w:basedOn w:val="Normal"/>
    <w:next w:val="Normal"/>
    <w:link w:val="IntenseQuoteChar"/>
    <w:uiPriority w:val="30"/>
    <w:qFormat/>
    <w:rsid w:val="00CC2F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2FDA"/>
    <w:rPr>
      <w:i/>
      <w:iCs/>
      <w:color w:val="0F4761" w:themeColor="accent1" w:themeShade="BF"/>
    </w:rPr>
  </w:style>
  <w:style w:type="character" w:styleId="IntenseReference">
    <w:name w:val="Intense Reference"/>
    <w:basedOn w:val="DefaultParagraphFont"/>
    <w:uiPriority w:val="32"/>
    <w:qFormat/>
    <w:rsid w:val="00CC2FDA"/>
    <w:rPr>
      <w:b/>
      <w:bCs/>
      <w:smallCaps/>
      <w:color w:val="0F4761" w:themeColor="accent1" w:themeShade="BF"/>
      <w:spacing w:val="5"/>
    </w:rPr>
  </w:style>
  <w:style w:type="character" w:styleId="Hyperlink">
    <w:name w:val="Hyperlink"/>
    <w:basedOn w:val="DefaultParagraphFont"/>
    <w:uiPriority w:val="99"/>
    <w:unhideWhenUsed/>
    <w:rsid w:val="00CC2FDA"/>
    <w:rPr>
      <w:color w:val="0000FF"/>
      <w:u w:val="single"/>
    </w:rPr>
  </w:style>
  <w:style w:type="paragraph" w:styleId="NormalWeb">
    <w:name w:val="Normal (Web)"/>
    <w:basedOn w:val="Normal"/>
    <w:uiPriority w:val="99"/>
    <w:unhideWhenUsed/>
    <w:rsid w:val="00CC2FDA"/>
    <w:pPr>
      <w:spacing w:before="100" w:beforeAutospacing="1" w:after="100" w:afterAutospacing="1" w:line="240" w:lineRule="auto"/>
    </w:pPr>
    <w:rPr>
      <w:rFonts w:ascii="Aptos" w:hAnsi="Aptos" w:cs="Aptos"/>
      <w:kern w:val="0"/>
      <w:sz w:val="24"/>
      <w:szCs w:val="24"/>
      <w14:ligatures w14:val="none"/>
    </w:rPr>
  </w:style>
  <w:style w:type="character" w:styleId="FollowedHyperlink">
    <w:name w:val="FollowedHyperlink"/>
    <w:basedOn w:val="DefaultParagraphFont"/>
    <w:uiPriority w:val="99"/>
    <w:semiHidden/>
    <w:unhideWhenUsed/>
    <w:rsid w:val="00D918A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url.emailprotection.link/?bQ3g7rzxH__NvgfjbdseIUCiz3IdRCI9cVCHJ3qeL_f_qP3mvnEthd_1uFhdAJdvQI5Qg8RmfGLNXuXiDQ6-zmQ~~"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rl.emailprotection.link/?bL5k1yP-iNhgv7UrpKFz6peclbpCOESyxTfH1Ca6dHOaWvrBuEpql_sVPjI3KWx4OE9GsO6J2lshW8q4UVDtG0A~~" TargetMode="External"/><Relationship Id="rId11" Type="http://schemas.openxmlformats.org/officeDocument/2006/relationships/image" Target="media/image5.jpeg"/><Relationship Id="rId5" Type="http://schemas.openxmlformats.org/officeDocument/2006/relationships/hyperlink" Target="http://www.opei.org"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963</Words>
  <Characters>5493</Characters>
  <Application>Microsoft Office Word</Application>
  <DocSecurity>0</DocSecurity>
  <Lines>45</Lines>
  <Paragraphs>12</Paragraphs>
  <ScaleCrop>false</ScaleCrop>
  <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DeLeon</dc:creator>
  <cp:keywords/>
  <dc:description/>
  <cp:lastModifiedBy>Jennifer Dwyer</cp:lastModifiedBy>
  <cp:revision>2</cp:revision>
  <dcterms:created xsi:type="dcterms:W3CDTF">2024-04-03T14:26:00Z</dcterms:created>
  <dcterms:modified xsi:type="dcterms:W3CDTF">2024-04-03T14:26:00Z</dcterms:modified>
</cp:coreProperties>
</file>